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B9" w:rsidRPr="00662153" w:rsidRDefault="00CD54B9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S.06.03. </w:t>
      </w:r>
      <w:r w:rsidR="007A169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08A2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62153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 xml:space="preserve"> (old Asset D</w:t>
      </w:r>
      <w:r w:rsidR="00A81E2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</w:t>
      </w:r>
      <w:bookmarkStart w:id="0" w:name="_GoBack"/>
      <w:bookmarkEnd w:id="0"/>
      <w:r w:rsidRPr="00662153">
        <w:rPr>
          <w:rFonts w:ascii="Times New Roman" w:hAnsi="Times New Roman" w:cs="Times New Roman"/>
          <w:sz w:val="20"/>
          <w:szCs w:val="20"/>
        </w:rPr>
        <w:t>e first column of the next table identifies the items to be reported by identifying the columns and lines as showed in the template in Annex I.</w:t>
      </w:r>
    </w:p>
    <w:p w:rsidR="006D5C47" w:rsidRPr="00662153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quarterly and annual submission of information for </w:t>
      </w:r>
      <w:r w:rsidR="00521FE7">
        <w:rPr>
          <w:rFonts w:ascii="Times New Roman" w:hAnsi="Times New Roman" w:cs="Times New Roman"/>
          <w:sz w:val="20"/>
          <w:szCs w:val="20"/>
          <w:lang w:val="en-US"/>
        </w:rPr>
        <w:t>groups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A1088" w:rsidRPr="00662153" w:rsidRDefault="00677C0E">
      <w:pPr>
        <w:jc w:val="both"/>
        <w:rPr>
          <w:highlight w:val="yellow"/>
        </w:rPr>
      </w:pPr>
      <w:r w:rsidRPr="00662153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662153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r w:rsidR="00A81E21">
        <w:rPr>
          <w:rFonts w:ascii="Times New Roman" w:hAnsi="Times New Roman" w:cs="Times New Roman"/>
          <w:sz w:val="20"/>
          <w:szCs w:val="20"/>
        </w:rPr>
        <w:t xml:space="preserve"> including when they are participations</w:t>
      </w:r>
      <w:r w:rsidR="00CA1C8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662153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662153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662153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7A1088" w:rsidRPr="009B0173" w:rsidRDefault="006D5C47" w:rsidP="00B2582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</w:t>
      </w:r>
      <w:r w:rsidR="00521FE7">
        <w:rPr>
          <w:rFonts w:ascii="Times New Roman" w:hAnsi="Times New Roman" w:cs="Times New Roman"/>
          <w:sz w:val="20"/>
          <w:szCs w:val="20"/>
        </w:rPr>
        <w:t>group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to total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C0010/R0180 of 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C0010/R0220 of S.02.01 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C0010/R0070 and C0010/RC0220 of S.02.01, is higher than 30%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A21CC" w:rsidRPr="0071149E" w:rsidRDefault="00DA21CC" w:rsidP="00DA21CC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defined in Annex III </w:t>
      </w:r>
      <w:r w:rsidR="007A169E">
        <w:rPr>
          <w:rFonts w:ascii="Times New Roman" w:hAnsi="Times New Roman" w:cs="Times New Roman"/>
          <w:bCs/>
          <w:sz w:val="20"/>
          <w:szCs w:val="20"/>
        </w:rPr>
        <w:t>-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662153">
        <w:rPr>
          <w:rFonts w:ascii="Times New Roman" w:hAnsi="Times New Roman" w:cs="Times New Roman"/>
          <w:sz w:val="20"/>
          <w:szCs w:val="20"/>
        </w:rPr>
        <w:t xml:space="preserve">references to CIC codes refer to Annex IV </w:t>
      </w:r>
      <w:r w:rsidR="007A169E">
        <w:rPr>
          <w:rFonts w:ascii="Times New Roman" w:hAnsi="Times New Roman" w:cs="Times New Roman"/>
          <w:sz w:val="20"/>
          <w:szCs w:val="20"/>
        </w:rPr>
        <w:t>-</w:t>
      </w:r>
      <w:r w:rsidR="006D5C47" w:rsidRPr="00662153">
        <w:rPr>
          <w:rFonts w:ascii="Times New Roman" w:hAnsi="Times New Roman" w:cs="Times New Roman"/>
          <w:sz w:val="20"/>
          <w:szCs w:val="20"/>
        </w:rPr>
        <w:t xml:space="preserve"> CIC table </w:t>
      </w:r>
      <w:r w:rsidRPr="00662153">
        <w:rPr>
          <w:rFonts w:ascii="Times New Roman" w:hAnsi="Times New Roman" w:cs="Times New Roman"/>
          <w:sz w:val="20"/>
          <w:szCs w:val="20"/>
        </w:rPr>
        <w:t>of this Regulation.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</w:tblGrid>
      <w:tr w:rsidR="00FC307F" w:rsidRPr="008A2E61" w:rsidTr="00662153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3F3240" w:rsidRPr="008A2E61" w:rsidTr="007A169E">
        <w:trPr>
          <w:trHeight w:val="739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RDefault="00EF6EC4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C0010</w:t>
            </w:r>
          </w:p>
          <w:p w:rsidR="00EF6EC4" w:rsidRPr="003F3240" w:rsidRDefault="00EF6EC4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(A50)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EF6EC4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t>Legal name of the undertaking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F3240" w:rsidRDefault="00EF6EC4" w:rsidP="00EF6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t>Identify the legal name of the undertaking within the group for which the return on investment relates to.</w:t>
            </w:r>
          </w:p>
        </w:tc>
      </w:tr>
      <w:tr w:rsidR="003F3240" w:rsidRPr="008A2E61" w:rsidTr="00972587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t>Identification code of the undertaking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65F9C" w:rsidRDefault="00665F9C" w:rsidP="0066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033EF0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3F3240" w:rsidRDefault="00665F9C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33E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 5 digits</w:t>
            </w:r>
          </w:p>
        </w:tc>
      </w:tr>
      <w:tr w:rsidR="003F3240" w:rsidRPr="008A2E61" w:rsidTr="007A169E">
        <w:trPr>
          <w:trHeight w:val="1101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C0030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116E25">
              <w:rPr>
                <w:rFonts w:ascii="Times New Roman" w:hAnsi="Times New Roman" w:cs="Times New Roman"/>
                <w:sz w:val="20"/>
                <w:szCs w:val="20"/>
              </w:rPr>
              <w:t>Type of code of the ID of the undertaking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F3240" w:rsidRPr="007A169E" w:rsidRDefault="003F3240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169E">
              <w:rPr>
                <w:rFonts w:ascii="Times New Roman" w:hAnsi="Times New Roman" w:cs="Times New Roman"/>
                <w:sz w:val="20"/>
                <w:szCs w:val="20"/>
              </w:rPr>
              <w:t>Type of ID Code used for the “Identification code of the undertaking” item. One of the options in the following closed list shall be used:</w:t>
            </w:r>
          </w:p>
          <w:p w:rsidR="003F3240" w:rsidRPr="007A169E" w:rsidRDefault="003F3240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7A169E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3F3240" w:rsidRDefault="003F3240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169E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2 - Specific code</w:t>
            </w:r>
          </w:p>
        </w:tc>
      </w:tr>
      <w:tr w:rsidR="00CD54B9" w:rsidRPr="008A2E61" w:rsidTr="00662153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4B9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4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(A1)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4B9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54B9" w:rsidRPr="00662153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662153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, when the options above are not available, and must be consistent over time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B0493" w:rsidRPr="008A2E61" w:rsidTr="005B0493">
        <w:trPr>
          <w:trHeight w:val="1605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493" w:rsidRDefault="005B0493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C0050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(A2)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493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B0493" w:rsidRPr="0016200C" w:rsidRDefault="005B0493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WRT (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Kenn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-Number, the alphanumeric German identification number)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Pr="00662153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6215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5B0493" w:rsidRPr="00662153" w:rsidRDefault="005B0493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07F" w:rsidRPr="008A2E61" w:rsidTr="00662153">
        <w:trPr>
          <w:trHeight w:val="983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lastRenderedPageBreak/>
              <w:t>C00</w:t>
            </w:r>
            <w:r w:rsidR="00D45F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6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(A4)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93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the assets categories 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Pr="007A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Collateralised securities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662153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662153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10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662153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11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</w:p>
          <w:p w:rsidR="00E03021" w:rsidRPr="00662153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12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Liabilities</w:t>
            </w:r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FC307F" w:rsidRPr="00662153" w:rsidRDefault="006E3046" w:rsidP="0023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Category “5 -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</w:p>
        </w:tc>
      </w:tr>
      <w:tr w:rsidR="00FC307F" w:rsidRPr="008A2E61" w:rsidTr="00662153">
        <w:trPr>
          <w:trHeight w:val="132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7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(A5)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BA2" w:rsidRPr="00662153" w:rsidRDefault="00154BA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C0060 by issuer country</w:t>
            </w:r>
            <w:r w:rsidR="00B374C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FC307F" w:rsidRPr="007A169E" w:rsidRDefault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EU: European Union Institutions</w:t>
            </w:r>
          </w:p>
        </w:tc>
      </w:tr>
      <w:tr w:rsidR="00FC307F" w:rsidRPr="008A2E61" w:rsidTr="007A169E">
        <w:trPr>
          <w:trHeight w:val="142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C00</w:t>
            </w:r>
            <w:r w:rsidR="00D45F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(A6)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154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the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</w:tc>
      </w:tr>
      <w:tr w:rsidR="00FC307F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9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(A7)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662153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Pr="00662153" w:rsidRDefault="00FC307F" w:rsidP="0042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 liabilities a </w:t>
            </w:r>
            <w:r w:rsidR="00424CB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</w:tc>
      </w:tr>
    </w:tbl>
    <w:p w:rsidR="008534DC" w:rsidRPr="00662153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662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7F"/>
    <w:rsid w:val="000E2C43"/>
    <w:rsid w:val="00154BA2"/>
    <w:rsid w:val="00235C09"/>
    <w:rsid w:val="003D5B75"/>
    <w:rsid w:val="003F3240"/>
    <w:rsid w:val="00405DB2"/>
    <w:rsid w:val="00424CBF"/>
    <w:rsid w:val="004356C8"/>
    <w:rsid w:val="00450EEB"/>
    <w:rsid w:val="0046496C"/>
    <w:rsid w:val="004D22EF"/>
    <w:rsid w:val="004E7E27"/>
    <w:rsid w:val="00521FE7"/>
    <w:rsid w:val="005864A1"/>
    <w:rsid w:val="005B0493"/>
    <w:rsid w:val="005D06B0"/>
    <w:rsid w:val="0061011A"/>
    <w:rsid w:val="00622B19"/>
    <w:rsid w:val="006245EA"/>
    <w:rsid w:val="00630F62"/>
    <w:rsid w:val="00642C84"/>
    <w:rsid w:val="00662153"/>
    <w:rsid w:val="00665F9C"/>
    <w:rsid w:val="006677C7"/>
    <w:rsid w:val="00677C0E"/>
    <w:rsid w:val="006D5C47"/>
    <w:rsid w:val="006D62FC"/>
    <w:rsid w:val="006E3046"/>
    <w:rsid w:val="00707EB4"/>
    <w:rsid w:val="007143D2"/>
    <w:rsid w:val="007321E3"/>
    <w:rsid w:val="0073364C"/>
    <w:rsid w:val="007A1088"/>
    <w:rsid w:val="007A169E"/>
    <w:rsid w:val="007E3B5D"/>
    <w:rsid w:val="007F54FA"/>
    <w:rsid w:val="0082333E"/>
    <w:rsid w:val="00850090"/>
    <w:rsid w:val="008534DC"/>
    <w:rsid w:val="00883AE2"/>
    <w:rsid w:val="00893F85"/>
    <w:rsid w:val="008A2E61"/>
    <w:rsid w:val="008A3427"/>
    <w:rsid w:val="0094172F"/>
    <w:rsid w:val="00972587"/>
    <w:rsid w:val="009B0173"/>
    <w:rsid w:val="00A00792"/>
    <w:rsid w:val="00A13B5C"/>
    <w:rsid w:val="00A409A7"/>
    <w:rsid w:val="00A70A2A"/>
    <w:rsid w:val="00A72373"/>
    <w:rsid w:val="00A81E21"/>
    <w:rsid w:val="00AA23C0"/>
    <w:rsid w:val="00AE5C0A"/>
    <w:rsid w:val="00B01E63"/>
    <w:rsid w:val="00B2093F"/>
    <w:rsid w:val="00B2582F"/>
    <w:rsid w:val="00B374C2"/>
    <w:rsid w:val="00C96390"/>
    <w:rsid w:val="00CA1C89"/>
    <w:rsid w:val="00CD54B9"/>
    <w:rsid w:val="00D45F7F"/>
    <w:rsid w:val="00DA21CC"/>
    <w:rsid w:val="00E03021"/>
    <w:rsid w:val="00E644F1"/>
    <w:rsid w:val="00E71CA2"/>
    <w:rsid w:val="00E87BC6"/>
    <w:rsid w:val="00ED08A2"/>
    <w:rsid w:val="00ED34AB"/>
    <w:rsid w:val="00EF6EC4"/>
    <w:rsid w:val="00F619F2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3F4F2FA1-4CB2-43A2-8939-ECF7D8764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Pinto de Sá</dc:creator>
  <cp:lastModifiedBy>Ivana Sivric</cp:lastModifiedBy>
  <cp:revision>3</cp:revision>
  <dcterms:created xsi:type="dcterms:W3CDTF">2014-11-13T10:21:00Z</dcterms:created>
  <dcterms:modified xsi:type="dcterms:W3CDTF">2014-11-13T10:28:00Z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